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738B" w14:textId="77777777" w:rsidR="00EB5680" w:rsidRPr="00EB5680" w:rsidRDefault="00EB5680" w:rsidP="00EB5680">
      <w:pPr>
        <w:spacing w:after="0" w:line="240" w:lineRule="auto"/>
        <w:textAlignment w:val="baseline"/>
        <w:outlineLvl w:val="1"/>
        <w:rPr>
          <w:rFonts w:ascii="alk_sanetregular" w:eastAsia="Times New Roman" w:hAnsi="alk_sanetregular" w:cs="Times New Roman"/>
          <w:color w:val="000000"/>
          <w:spacing w:val="-15"/>
          <w:sz w:val="33"/>
          <w:szCs w:val="33"/>
          <w:lang w:eastAsia="ka-GE"/>
        </w:rPr>
      </w:pPr>
      <w:r w:rsidRPr="00EB5680">
        <w:rPr>
          <w:rFonts w:ascii="Sylfaen" w:eastAsia="Times New Roman" w:hAnsi="Sylfaen" w:cs="Sylfaen"/>
          <w:color w:val="000000"/>
          <w:spacing w:val="-15"/>
          <w:sz w:val="33"/>
          <w:szCs w:val="33"/>
          <w:lang w:eastAsia="ka-GE"/>
        </w:rPr>
        <w:t>შინაგან</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საქმეთა</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სამინისტრომ</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ბავშვობის</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ასაკში</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ქორწინების</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წინააღმდეგ</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საინფორმაციო</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კამპანია</w:t>
      </w:r>
      <w:r w:rsidRPr="00EB5680">
        <w:rPr>
          <w:rFonts w:ascii="alk_sanetregular" w:eastAsia="Times New Roman" w:hAnsi="alk_sanetregular" w:cs="Times New Roman"/>
          <w:color w:val="000000"/>
          <w:spacing w:val="-15"/>
          <w:sz w:val="33"/>
          <w:szCs w:val="33"/>
          <w:lang w:eastAsia="ka-GE"/>
        </w:rPr>
        <w:t xml:space="preserve"> - „</w:t>
      </w:r>
      <w:r w:rsidRPr="00EB5680">
        <w:rPr>
          <w:rFonts w:ascii="Sylfaen" w:eastAsia="Times New Roman" w:hAnsi="Sylfaen" w:cs="Sylfaen"/>
          <w:color w:val="000000"/>
          <w:spacing w:val="-15"/>
          <w:sz w:val="33"/>
          <w:szCs w:val="33"/>
          <w:lang w:eastAsia="ka-GE"/>
        </w:rPr>
        <w:t>ნუ</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წაართმევ</w:t>
      </w:r>
      <w:r w:rsidRPr="00EB5680">
        <w:rPr>
          <w:rFonts w:ascii="alk_sanetregular" w:eastAsia="Times New Roman" w:hAnsi="alk_sanetregular" w:cs="Times New Roman"/>
          <w:color w:val="000000"/>
          <w:spacing w:val="-15"/>
          <w:sz w:val="33"/>
          <w:szCs w:val="33"/>
          <w:lang w:eastAsia="ka-GE"/>
        </w:rPr>
        <w:t xml:space="preserve"> </w:t>
      </w:r>
      <w:r w:rsidRPr="00EB5680">
        <w:rPr>
          <w:rFonts w:ascii="Sylfaen" w:eastAsia="Times New Roman" w:hAnsi="Sylfaen" w:cs="Sylfaen"/>
          <w:color w:val="000000"/>
          <w:spacing w:val="-15"/>
          <w:sz w:val="33"/>
          <w:szCs w:val="33"/>
          <w:lang w:eastAsia="ka-GE"/>
        </w:rPr>
        <w:t>ბავშვობას</w:t>
      </w:r>
      <w:r w:rsidRPr="00EB5680">
        <w:rPr>
          <w:rFonts w:ascii="alk_sanetregular" w:eastAsia="Times New Roman" w:hAnsi="alk_sanetregular" w:cs="Times New Roman"/>
          <w:color w:val="000000"/>
          <w:spacing w:val="-15"/>
          <w:sz w:val="33"/>
          <w:szCs w:val="33"/>
          <w:lang w:eastAsia="ka-GE"/>
        </w:rPr>
        <w:t xml:space="preserve">“ - </w:t>
      </w:r>
      <w:r w:rsidRPr="00EB5680">
        <w:rPr>
          <w:rFonts w:ascii="Sylfaen" w:eastAsia="Times New Roman" w:hAnsi="Sylfaen" w:cs="Sylfaen"/>
          <w:color w:val="000000"/>
          <w:spacing w:val="-15"/>
          <w:sz w:val="33"/>
          <w:szCs w:val="33"/>
          <w:lang w:eastAsia="ka-GE"/>
        </w:rPr>
        <w:t>დაიწყო</w:t>
      </w:r>
    </w:p>
    <w:p w14:paraId="45837A0E" w14:textId="23EDC025" w:rsidR="00EB5680" w:rsidRDefault="00EB5680" w:rsidP="00EB5680">
      <w:pPr>
        <w:spacing w:after="0" w:line="345" w:lineRule="atLeast"/>
        <w:jc w:val="both"/>
        <w:textAlignment w:val="baseline"/>
        <w:rPr>
          <w:rFonts w:ascii="Sylfaen" w:eastAsia="Times New Roman" w:hAnsi="Sylfaen" w:cs="Times New Roman"/>
          <w:color w:val="010101"/>
          <w:sz w:val="21"/>
          <w:szCs w:val="21"/>
          <w:lang w:eastAsia="ka-GE"/>
        </w:rPr>
      </w:pP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შინაგან საქმეთა სამინისტრომ ბავშვობის ასაკში ქორწინების პრევენციის მიზნით დაიწყო საინფორმაციო კამპანია - „ნუ წაართმევ ბავშვობას“, რომლის მიზანია ბავშვობის ასაკში ქორწინების ხელშემწყობი დანაშაულების აღმოფხვრა და ამ საკითხზე საზოგადოების ცნობიერების ამაღლება, ასევე, აღნიშნული კატეგორიის საქმეების შესახებ სამართალდამცველებისთვის დროული შეტყობინების უზრუნველყოფა.</w:t>
      </w:r>
    </w:p>
    <w:p w14:paraId="72F1171E" w14:textId="77777777" w:rsidR="00D27DE0" w:rsidRPr="00EB5680" w:rsidRDefault="00D27DE0" w:rsidP="00EB5680">
      <w:pPr>
        <w:spacing w:after="0" w:line="345" w:lineRule="atLeast"/>
        <w:jc w:val="both"/>
        <w:textAlignment w:val="baseline"/>
        <w:rPr>
          <w:rFonts w:ascii="Sylfaen" w:eastAsia="Times New Roman" w:hAnsi="Sylfaen" w:cs="Times New Roman"/>
          <w:color w:val="010101"/>
          <w:sz w:val="21"/>
          <w:szCs w:val="21"/>
          <w:lang w:eastAsia="ka-GE"/>
        </w:rPr>
      </w:pPr>
    </w:p>
    <w:p w14:paraId="5FEE4DC4" w14:textId="77777777" w:rsidR="00EB5680" w:rsidRPr="00EB5680" w:rsidRDefault="00EB5680" w:rsidP="00EB5680">
      <w:pPr>
        <w:spacing w:after="150" w:line="345" w:lineRule="atLeast"/>
        <w:jc w:val="both"/>
        <w:textAlignment w:val="baseline"/>
        <w:rPr>
          <w:rFonts w:ascii="Sylfaen" w:eastAsia="Times New Roman" w:hAnsi="Sylfaen" w:cs="Times New Roman"/>
          <w:color w:val="010101"/>
          <w:sz w:val="21"/>
          <w:szCs w:val="21"/>
          <w:lang w:eastAsia="ka-GE"/>
        </w:rPr>
      </w:pPr>
      <w:r w:rsidRPr="00EB5680">
        <w:rPr>
          <w:rFonts w:ascii="Sylfaen" w:eastAsia="Times New Roman" w:hAnsi="Sylfaen" w:cs="Times New Roman"/>
          <w:color w:val="010101"/>
          <w:sz w:val="21"/>
          <w:szCs w:val="21"/>
          <w:lang w:eastAsia="ka-GE"/>
        </w:rPr>
        <w:t>შინაგან საქმეთა სამინისტროს ერთ-ერთი პრიორიტეტია ბავშვობის ასაკში ქორწინების წინააღმდეგ ბრძოლა და მსგავსი ფაქტების დროული გამოვლენა. შესაბამისად, ეფექტიანი რეაგირების მიზნით, 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დეპარტამენტი მთელი ქვეყნის მასშტაბით სწავლობს და ამონიტორინგებს ბავშვთან ქორწინების მოტივით ჩადენილ ყველა შესაძლო შემთხვევას.</w:t>
      </w:r>
    </w:p>
    <w:p w14:paraId="542A3A82" w14:textId="0CCE671F" w:rsidR="00EB5680" w:rsidRPr="00EB5680" w:rsidRDefault="00EB5680" w:rsidP="00EB5680">
      <w:pPr>
        <w:spacing w:after="0" w:line="345" w:lineRule="atLeast"/>
        <w:jc w:val="both"/>
        <w:textAlignment w:val="baseline"/>
        <w:rPr>
          <w:rFonts w:ascii="Sylfaen" w:eastAsia="Times New Roman" w:hAnsi="Sylfaen" w:cs="Times New Roman"/>
          <w:color w:val="010101"/>
          <w:sz w:val="21"/>
          <w:szCs w:val="21"/>
          <w:lang w:eastAsia="ka-GE"/>
        </w:rPr>
      </w:pPr>
      <w:r w:rsidRPr="00EB5680">
        <w:rPr>
          <w:rFonts w:ascii="Sylfaen" w:eastAsia="Times New Roman" w:hAnsi="Sylfaen" w:cs="Times New Roman"/>
          <w:color w:val="010101"/>
          <w:sz w:val="21"/>
          <w:szCs w:val="21"/>
          <w:lang w:eastAsia="ka-GE"/>
        </w:rPr>
        <w:t>კამპანიის გახსნით ღონისძიებაზე, შინაგან საქმეთა მინისტრის მოადგილემ - ალექსანდრე დარახველიძემ, გაეროს მოსახლეობის ფონდის საქართველოს ოფისის ხელმძღვანელმა - ლელა ბაქრაძემ და შვედეთის სამეფოს ელჩმა საქართველოში - ულრიკ ტიდესტრომ მოწვეულ სტუმრებს სიტყვით მიმართეს.</w:t>
      </w: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ღონისძიებას სამთავრობო და არასამთავრობო სექტორის წარმომადგენლები, პარლამენტის წევრები, სახალხო დამცველის აპარატისა და აღნიშნულ საკითხზე მომუშავე საერთაშორისო ორგანიზაციების წარმომადგენლები დაესწრნენ.</w:t>
      </w: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შეხვედრაზე შინაგან საქმეთა სამინისტროს ადამიანის უფლებათა დაცვისა და გამოძიების ხარისხის მონიტორინგის დეპარტამენტმა წარმოადგინა პრეზენტაცია, რომლის მეშვეობითაც სტუმრებმა ინფორმაცია მიიღეს ბავშვობის ასაკში ქორწინების სტატისტიკური მონაცემებისა და კამპანიის ფარგლებში განსახორციელებელი აქტივობების შესახებ.</w:t>
      </w: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ამასთანავე, გაიმართა პანელური დისკუსია, რომელშიც მომხსენებლებად მონაწილეობდნენ პრემიერ-მინისტრის მრჩეველი ადამიანის უფლებათა დაცვის საკითხებში - ნიკო თათულაშვილი, განათლებისა და მეცნიერების მინისტრის პირველი მოადგილე - თამარ მახარაშვილი, შრომის, ჯანმრთელობისა და სოციალური დაცვის მინისტრის მოადგილე - თამარ ბარკალაია და სახალხო დამცველის ოფისის გენდერის დეპარტამენტის ხელმძღვანელი - სოფიო რუსეცკი.</w:t>
      </w: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 xml:space="preserve">გარდა ამისა, ბავშვობის ასაკში ქორწინების თემაზე მომზადდა ვიდეორგოლი, რომელშიც </w:t>
      </w:r>
      <w:r w:rsidRPr="00EB5680">
        <w:rPr>
          <w:rFonts w:ascii="Sylfaen" w:eastAsia="Times New Roman" w:hAnsi="Sylfaen" w:cs="Times New Roman"/>
          <w:color w:val="010101"/>
          <w:sz w:val="21"/>
          <w:szCs w:val="21"/>
          <w:lang w:eastAsia="ka-GE"/>
        </w:rPr>
        <w:lastRenderedPageBreak/>
        <w:t>სხვადასხვა სფეროს წარმომადგენლები საუბრობენ ბავშვობის ასაკში ქორწინების უარყოფით მხარეებზე და ხაზს უსვამენ ასეთი ქორწინების წინააღმდეგ ბრძოლის მნიშვნელობას.</w:t>
      </w:r>
    </w:p>
    <w:p w14:paraId="7313730D" w14:textId="77777777" w:rsidR="00EB5680" w:rsidRPr="00EB5680" w:rsidRDefault="00EB5680" w:rsidP="00EB5680">
      <w:pPr>
        <w:spacing w:after="150" w:line="345" w:lineRule="atLeast"/>
        <w:jc w:val="both"/>
        <w:textAlignment w:val="baseline"/>
        <w:rPr>
          <w:rFonts w:ascii="Sylfaen" w:eastAsia="Times New Roman" w:hAnsi="Sylfaen" w:cs="Times New Roman"/>
          <w:color w:val="010101"/>
          <w:sz w:val="21"/>
          <w:szCs w:val="21"/>
          <w:lang w:eastAsia="ka-GE"/>
        </w:rPr>
      </w:pPr>
      <w:bookmarkStart w:id="0" w:name="_GoBack"/>
      <w:r w:rsidRPr="00EB5680">
        <w:rPr>
          <w:rFonts w:ascii="Sylfaen" w:eastAsia="Times New Roman" w:hAnsi="Sylfaen" w:cs="Times New Roman"/>
          <w:color w:val="010101"/>
          <w:sz w:val="21"/>
          <w:szCs w:val="21"/>
          <w:lang w:eastAsia="ka-GE"/>
        </w:rPr>
        <w:t>კამპანია გაეროს მოსახლეობის ფონდის (UNFPA) საქართველოს ოფისთან პარტნიორობით, გაეროს ერთობლივი პროგრამის - „გენდერული თანასწორობისთვის“ - ფარგლებში, შვედეთის ფინანსური მხარდაჭერით ხორციელდება.</w:t>
      </w:r>
    </w:p>
    <w:p w14:paraId="4C31B428" w14:textId="77777777" w:rsidR="00EB5680" w:rsidRPr="00EB5680" w:rsidRDefault="00EB5680" w:rsidP="00EB5680">
      <w:pPr>
        <w:spacing w:line="345" w:lineRule="atLeast"/>
        <w:jc w:val="both"/>
        <w:textAlignment w:val="baseline"/>
        <w:rPr>
          <w:rFonts w:ascii="Sylfaen" w:eastAsia="Times New Roman" w:hAnsi="Sylfaen" w:cs="Times New Roman"/>
          <w:color w:val="010101"/>
          <w:sz w:val="21"/>
          <w:szCs w:val="21"/>
          <w:lang w:eastAsia="ka-GE"/>
        </w:rPr>
      </w:pPr>
      <w:r w:rsidRPr="00EB5680">
        <w:rPr>
          <w:rFonts w:ascii="Sylfaen" w:eastAsia="Times New Roman" w:hAnsi="Sylfaen" w:cs="Times New Roman"/>
          <w:color w:val="010101"/>
          <w:sz w:val="21"/>
          <w:szCs w:val="21"/>
          <w:lang w:eastAsia="ka-GE"/>
        </w:rPr>
        <w:t>საინფორმაციო კამპანია ერთი თვის განმავლობაში გაგრძელდება და არაერთ ღონისძიებას მოიცავს, მათ შორის შეხვედრებს თბილისსა და რეგიონებში, სხვადასხვა სამიზნე ჯგუფებთან. აღნიშნულ შეხვედრებს გამართავენ ადამიანის უფლებათა დაცვისა და გამოძიების ხარისხის მონიტორინგის დეპარტამენტის თანამშრომლები, საპოლიციო დანაყოფებისა და სხვა პარტნიორი უწყებების წარმომადგენლებთან ერთად. აგრეთვე, ჩატარდება ნახატების კონკურსი.</w:t>
      </w:r>
      <w:r w:rsidRPr="00EB5680">
        <w:rPr>
          <w:rFonts w:ascii="Sylfaen" w:eastAsia="Times New Roman" w:hAnsi="Sylfaen" w:cs="Times New Roman"/>
          <w:color w:val="010101"/>
          <w:sz w:val="21"/>
          <w:szCs w:val="21"/>
          <w:lang w:eastAsia="ka-GE"/>
        </w:rPr>
        <w:br/>
      </w:r>
      <w:r w:rsidRPr="00EB5680">
        <w:rPr>
          <w:rFonts w:ascii="Sylfaen" w:eastAsia="Times New Roman" w:hAnsi="Sylfaen" w:cs="Times New Roman"/>
          <w:color w:val="010101"/>
          <w:sz w:val="21"/>
          <w:szCs w:val="21"/>
          <w:lang w:eastAsia="ka-GE"/>
        </w:rPr>
        <w:br/>
        <w:t>კამპანიის ფარგლებში, ქართულ, აზერბაიჯანულ და სომხურ ენებზე დაიბეჭდა საინფორმაციო ბროშურები. დამზადდა კამპანიის სიმბოლოებიანი სანიშნეები, მაისურები, გულსაბნევები, ჩანთები და სხვა ბრენდირებული ნივთები, რომლებიც კამპანიის მიმდინარეობისას გადაეცემა სკოლის ადმინისტრაციებსა და სხვა დაინტერესებულ პირებს.</w:t>
      </w:r>
    </w:p>
    <w:bookmarkEnd w:id="0"/>
    <w:p w14:paraId="6B74AFB2" w14:textId="77777777" w:rsidR="00A05D25" w:rsidRDefault="00A05D25"/>
    <w:sectPr w:rsidR="00A05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k_sanetregula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93"/>
    <w:rsid w:val="00846E93"/>
    <w:rsid w:val="00A05D25"/>
    <w:rsid w:val="00D27DE0"/>
    <w:rsid w:val="00EB568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34E1"/>
  <w15:chartTrackingRefBased/>
  <w15:docId w15:val="{EF7292B4-28EF-4C16-AB24-81BB0A29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5680"/>
    <w:pPr>
      <w:spacing w:before="100" w:beforeAutospacing="1" w:after="100" w:afterAutospacing="1" w:line="240" w:lineRule="auto"/>
      <w:outlineLvl w:val="1"/>
    </w:pPr>
    <w:rPr>
      <w:rFonts w:ascii="Times New Roman" w:eastAsia="Times New Roman" w:hAnsi="Times New Roman" w:cs="Times New Roman"/>
      <w:b/>
      <w:bCs/>
      <w:sz w:val="36"/>
      <w:szCs w:val="36"/>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680"/>
    <w:rPr>
      <w:rFonts w:ascii="Times New Roman" w:eastAsia="Times New Roman" w:hAnsi="Times New Roman" w:cs="Times New Roman"/>
      <w:b/>
      <w:bCs/>
      <w:sz w:val="36"/>
      <w:szCs w:val="36"/>
      <w:lang w:eastAsia="ka-GE"/>
    </w:rPr>
  </w:style>
  <w:style w:type="paragraph" w:styleId="NormalWeb">
    <w:name w:val="Normal (Web)"/>
    <w:basedOn w:val="Normal"/>
    <w:uiPriority w:val="99"/>
    <w:semiHidden/>
    <w:unhideWhenUsed/>
    <w:rsid w:val="00EB5680"/>
    <w:pPr>
      <w:spacing w:before="100" w:beforeAutospacing="1" w:after="100" w:afterAutospacing="1" w:line="240" w:lineRule="auto"/>
    </w:pPr>
    <w:rPr>
      <w:rFonts w:ascii="Times New Roman" w:eastAsia="Times New Roman" w:hAnsi="Times New Roman" w:cs="Times New Roman"/>
      <w:sz w:val="24"/>
      <w:szCs w:val="24"/>
      <w:lang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479">
      <w:bodyDiv w:val="1"/>
      <w:marLeft w:val="0"/>
      <w:marRight w:val="0"/>
      <w:marTop w:val="0"/>
      <w:marBottom w:val="0"/>
      <w:divBdr>
        <w:top w:val="none" w:sz="0" w:space="0" w:color="auto"/>
        <w:left w:val="none" w:sz="0" w:space="0" w:color="auto"/>
        <w:bottom w:val="none" w:sz="0" w:space="0" w:color="auto"/>
        <w:right w:val="none" w:sz="0" w:space="0" w:color="auto"/>
      </w:divBdr>
      <w:divsChild>
        <w:div w:id="839928727">
          <w:marLeft w:val="0"/>
          <w:marRight w:val="0"/>
          <w:marTop w:val="0"/>
          <w:marBottom w:val="0"/>
          <w:divBdr>
            <w:top w:val="none" w:sz="0" w:space="0" w:color="auto"/>
            <w:left w:val="none" w:sz="0" w:space="0" w:color="auto"/>
            <w:bottom w:val="none" w:sz="0" w:space="0" w:color="auto"/>
            <w:right w:val="none" w:sz="0" w:space="0" w:color="auto"/>
          </w:divBdr>
        </w:div>
        <w:div w:id="203857956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Avaliani</dc:creator>
  <cp:keywords/>
  <dc:description/>
  <cp:lastModifiedBy>Salome Modebadze</cp:lastModifiedBy>
  <cp:revision>4</cp:revision>
  <dcterms:created xsi:type="dcterms:W3CDTF">2022-06-01T10:59:00Z</dcterms:created>
  <dcterms:modified xsi:type="dcterms:W3CDTF">2022-06-01T12:57:00Z</dcterms:modified>
</cp:coreProperties>
</file>